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Иностранная</w:t>
      </w:r>
      <w:r>
        <w:rPr>
          <w:rFonts w:hint="default"/>
          <w:b/>
          <w:sz w:val="20"/>
          <w:szCs w:val="20"/>
          <w:lang w:val="ru-RU"/>
        </w:rPr>
        <w:t xml:space="preserve"> филология</w:t>
      </w:r>
      <w:bookmarkStart w:id="0" w:name="_GoBack"/>
      <w:bookmarkEnd w:id="0"/>
      <w:r>
        <w:rPr>
          <w:b/>
          <w:sz w:val="20"/>
          <w:szCs w:val="20"/>
        </w:rPr>
        <w:t xml:space="preserve"> »</w:t>
      </w:r>
    </w:p>
    <w:p>
      <w:pPr>
        <w:rPr>
          <w:bCs/>
          <w:color w:val="FF0000"/>
          <w:sz w:val="20"/>
          <w:szCs w:val="20"/>
          <w:lang w:val="en-US"/>
        </w:rPr>
      </w:pPr>
    </w:p>
    <w:tbl>
      <w:tblPr>
        <w:tblStyle w:val="9"/>
        <w:tblW w:w="15237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7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523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523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дисциплины: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дальнейшее развитие иноязычной коммуникативной компетенции в , а именно: совокупности еѐ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составляющихречевая компетенция — развитие коммуникативных умений в четырѐх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ситуациями общения, отобранными для данного уровня обучения; освоение знаний о языковых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аргументированных высказываниях;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социокультурная/межкультурная компетенция — приобщение учащихся к культуре, традициям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сф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осв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ить новые языковые средства в соответствии c темами, сферами и ситуациями общения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приобщать  умения представлять свою страну, еѐ культуру в условиях межкультурного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</w:p>
          <w:p>
            <w:pPr>
              <w:pStyle w:val="41"/>
              <w:numPr>
                <w:ilvl w:val="0"/>
                <w:numId w:val="0"/>
              </w:numP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kk-KZ" w:eastAsia="en-US" w:bidi="ar-SA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 ок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ончании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обучающийся должен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Знать/понимать: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словбенности структуры простых и сложных предложений изучаемого иносообразования (аффиксация, словосложение, конверсия);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осотранного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интонацию различных коммуникативных типов предложений;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признаки изученных грамматических явлений</w:t>
            </w:r>
          </w:p>
          <w:p>
            <w:pPr>
              <w:pStyle w:val="41"/>
              <w:numPr>
                <w:ilvl w:val="0"/>
                <w:numId w:val="0"/>
              </w:numPr>
              <w:rPr>
                <w:color w:val="FF0000"/>
                <w:sz w:val="22"/>
                <w:szCs w:val="22"/>
                <w:lang w:val="kk-KZ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Уметь: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Говорение: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ascii="Symbol" w:hAnsi="Symbol" w:eastAsia="SimSun" w:cs="Symbo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расспрашивать собеседника и отвечать на его вопросы, высказывая своѐ мнение, просьбу,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усвоенный лексико-грамматический материал;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повествовать о событиях, явлениях, фактах;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участвовать в беседе, дискуссии, выражать своѐ отношение к обсуждаемой проблеме;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Диалогическая речь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диалог-обмен мнениями и комбинированные диалоги. Объѐм диалога 7-9 реплик со стороны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каждого учащегося. Продолжительность диалога 2—3минуты . </w:t>
            </w:r>
          </w:p>
          <w:p>
            <w:pPr>
              <w:keepNext w:val="0"/>
              <w:keepLines w:val="0"/>
              <w:widowControl/>
              <w:suppressLineNumbers w:val="0"/>
              <w:ind w:firstLine="110" w:firstLineChars="5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Монологическая речь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опорой и без опоры на прочитанный или услышанный текст или заданную коммуникативную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ситуацию. Объѐм монологического высказывания до 12— 15 фраз. Продолжительность монолога 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 3 минуты              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Аудирование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для себя значимую информацию;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главные факты в тексте, опуская второстепенные;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темы;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определять и устанавливать последовательность фактов;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устанавливать причинно-следственные связи;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использовать переспрос, просьбу повторить;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причинно-следственные связи законченных отрывков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комментировать/объяснять те или иные факты, описанные в тексте;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делать заключения и выводы из прочитанного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с пониманием основного содержания текста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осуществляется на несложных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аутентичных материалах с ориентацией на выделенное предметное содержание, включающих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некоторое количество незнакомых слов. Объѐм текста для чтения — 700—800 слов.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с выборочным пониманием нужной или интересующей информации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предполагает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необходима или представляет интерес для учащихся. Объѐм текста для чтения — около 400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слов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осваивать новые языковые средства в соответствии c темами, сферами и ситуациями общения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приобщать учащихся к культуре, традициям и реалиям стран изуча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мого иностранного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формировать умения представлять свою страну, еѐ культуру в условиях межкультурного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-  знакомить с приемами  познания иноязычной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культур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, в том числе с использованием новых информационных технологий;</w:t>
            </w:r>
          </w:p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Письменная речь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заполнять анкеты и формуляры;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писать поздравления с днѐм рождения и другими праздниками, выражать пожелания (объѐмом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40-50 слов, включая адрес);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этикета, принятые в странах изучаемого языка Объѐм личного письма около 110 слов, включая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адрес;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свои чувства;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аппаратуру;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повседневной жизни для: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контактов в доступных пределах;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создания целостной картины полиязычного, поликультурного мира, осознания места и роли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родного и изучаемого иностранного языка в этом мире;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 xml:space="preserve">меть  навыки письменной речи ,соответствующим уровням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sz w:val="22"/>
                <w:szCs w:val="22"/>
                <w:lang w:val="ru-RU"/>
              </w:rPr>
              <w:t>1,В2</w:t>
            </w: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353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3536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Работа на практи</w:t>
            </w:r>
            <w:r>
              <w:rPr>
                <w:sz w:val="16"/>
                <w:szCs w:val="16"/>
                <w:lang w:val="ru-RU"/>
              </w:rPr>
              <w:t>ческих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 занятиях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jc w:val="both"/>
        <w:rPr>
          <w:sz w:val="28"/>
          <w:szCs w:val="28"/>
        </w:rPr>
      </w:pPr>
      <w:r>
        <w:t xml:space="preserve">         </w:t>
      </w:r>
      <w:r>
        <w:rPr>
          <w:rFonts w:hint="default"/>
          <w:b/>
          <w:lang w:val="ru-RU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4062" w:firstLineChars="1450"/>
        <w:rPr>
          <w:i/>
          <w:sz w:val="24"/>
          <w:lang w:val="fr-FR"/>
        </w:rPr>
      </w:pPr>
      <w:r>
        <w:rPr>
          <w:b/>
          <w:bCs/>
          <w:sz w:val="28"/>
          <w:szCs w:val="28"/>
          <w:lang w:val="ru-RU"/>
        </w:rPr>
        <w:t>Календарь</w:t>
      </w:r>
      <w:r>
        <w:rPr>
          <w:rFonts w:hint="default"/>
          <w:b/>
          <w:bCs/>
          <w:sz w:val="28"/>
          <w:szCs w:val="28"/>
          <w:lang w:val="ru-RU"/>
        </w:rPr>
        <w:t xml:space="preserve"> (график) реализации содержания дисциплины  </w:t>
      </w:r>
      <w:r>
        <w:rPr>
          <w:i/>
          <w:sz w:val="24"/>
          <w:lang w:val="fr-FR"/>
        </w:rPr>
        <w:t xml:space="preserve">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5"/>
        <w:gridCol w:w="5591"/>
        <w:gridCol w:w="376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Неделя</w:t>
            </w:r>
          </w:p>
        </w:tc>
        <w:tc>
          <w:tcPr>
            <w:tcW w:w="5591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Название темы</w:t>
            </w:r>
          </w:p>
        </w:tc>
        <w:tc>
          <w:tcPr>
            <w:tcW w:w="3767" w:type="dxa"/>
          </w:tcPr>
          <w:p>
            <w:pPr>
              <w:ind w:firstLine="700" w:firstLineChars="2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Кол-во часов</w:t>
            </w:r>
          </w:p>
        </w:tc>
        <w:tc>
          <w:tcPr>
            <w:tcW w:w="3767" w:type="dxa"/>
          </w:tcPr>
          <w:p>
            <w:pPr>
              <w:ind w:firstLine="560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Макс.балл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Un après – midi à problemes. </w:t>
            </w:r>
            <w:r>
              <w:rPr>
                <w:i/>
                <w:sz w:val="24"/>
                <w:lang w:val="en-US"/>
              </w:rPr>
              <w:t>P. 98.</w:t>
            </w:r>
            <w:r>
              <w:rPr>
                <w:rFonts w:hint="default"/>
                <w:i/>
                <w:sz w:val="24"/>
                <w:lang w:val="ru-RU"/>
              </w:rPr>
              <w:t>/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5591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sz w:val="24"/>
                <w:lang w:val="fr-FR"/>
              </w:rPr>
              <w:t xml:space="preserve">out est bien qui finit bien. </w:t>
            </w:r>
            <w:r>
              <w:rPr>
                <w:i/>
                <w:sz w:val="24"/>
                <w:lang w:val="en-US"/>
              </w:rPr>
              <w:t>P. 106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СРОП.Консультация 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i/>
                <w:sz w:val="24"/>
                <w:lang w:val="en-US"/>
              </w:rPr>
              <w:t>Aux ar</w:t>
            </w:r>
            <w:r>
              <w:rPr>
                <w:rFonts w:hint="default"/>
                <w:i/>
                <w:sz w:val="24"/>
                <w:lang w:val="en-US"/>
              </w:rPr>
              <w:t>m</w:t>
            </w:r>
            <w:r>
              <w:rPr>
                <w:i/>
                <w:sz w:val="24"/>
                <w:lang w:val="en-US"/>
              </w:rPr>
              <w:t>es citoyens! P.118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4</w:t>
            </w:r>
          </w:p>
        </w:tc>
        <w:tc>
          <w:tcPr>
            <w:tcW w:w="5591" w:type="dxa"/>
          </w:tcPr>
          <w:p>
            <w:pPr>
              <w:pStyle w:val="14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>Qui ne risqu</w:t>
            </w:r>
            <w:r>
              <w:rPr>
                <w:rFonts w:hint="default"/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i/>
                <w:sz w:val="24"/>
                <w:lang w:val="en-US"/>
              </w:rPr>
              <w:t>Les saison</w:t>
            </w:r>
            <w:r>
              <w:rPr>
                <w:rFonts w:hint="default"/>
                <w:i/>
                <w:sz w:val="24"/>
                <w:lang w:val="en-US"/>
              </w:rPr>
              <w:t>s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La fortune sourit aux audacieux. </w:t>
            </w:r>
            <w:r>
              <w:rPr>
                <w:i/>
                <w:sz w:val="24"/>
                <w:lang w:val="fr-FR"/>
              </w:rPr>
              <w:br w:type="textWrapping"/>
            </w:r>
            <w:r>
              <w:rPr>
                <w:i/>
                <w:sz w:val="24"/>
                <w:lang w:val="en-US"/>
              </w:rPr>
              <w:t>P. 134.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6</w:t>
            </w:r>
          </w:p>
        </w:tc>
        <w:tc>
          <w:tcPr>
            <w:tcW w:w="559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La publicité et nos rêves. </w:t>
            </w:r>
            <w:r>
              <w:rPr>
                <w:i/>
                <w:sz w:val="24"/>
                <w:lang w:val="en-US"/>
              </w:rPr>
              <w:t>P. 14</w:t>
            </w:r>
            <w:r>
              <w:rPr>
                <w:rFonts w:hint="default"/>
                <w:i/>
                <w:sz w:val="24"/>
                <w:lang w:val="ru-RU"/>
              </w:rPr>
              <w:t>4</w:t>
            </w:r>
            <w:r>
              <w:rPr>
                <w:rFonts w:hint="default"/>
                <w:i/>
                <w:sz w:val="24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СРОСРОП2.Консультация 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7</w:t>
            </w:r>
          </w:p>
        </w:tc>
        <w:tc>
          <w:tcPr>
            <w:tcW w:w="5591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/>
                <w:i/>
                <w:sz w:val="24"/>
                <w:lang w:val="en-US"/>
              </w:rPr>
              <w:t>C</w:t>
            </w:r>
            <w:r>
              <w:rPr>
                <w:i/>
                <w:sz w:val="24"/>
                <w:lang w:val="en-US"/>
              </w:rPr>
              <w:t>ampagne publicitaire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РК1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Le travail de controle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5591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 France</w:t>
            </w:r>
            <w:r>
              <w:rPr>
                <w:rFonts w:hint="default"/>
                <w:i/>
                <w:sz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5591" w:type="dxa"/>
          </w:tcPr>
          <w:p>
            <w:pPr>
              <w:pStyle w:val="14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</w:t>
            </w:r>
            <w:r>
              <w:rPr>
                <w:rFonts w:hint="default"/>
                <w:i/>
                <w:sz w:val="24"/>
                <w:lang w:val="fr-FR"/>
              </w:rPr>
              <w:t>ce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Donner so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5591" w:type="dxa"/>
          </w:tcPr>
          <w:p>
            <w:pPr>
              <w:pStyle w:val="14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>La situation géographique de la Fran</w:t>
            </w:r>
            <w:r>
              <w:rPr>
                <w:rFonts w:hint="default"/>
                <w:i/>
                <w:sz w:val="24"/>
                <w:lang w:val="fr-FR"/>
              </w:rPr>
              <w:t>ce</w:t>
            </w:r>
            <w:r>
              <w:rPr>
                <w:rFonts w:hint="default"/>
                <w:i/>
                <w:sz w:val="24"/>
                <w:lang w:val="en-US"/>
              </w:rPr>
              <w:t xml:space="preserve"> </w:t>
            </w:r>
            <w:r>
              <w:rPr>
                <w:rFonts w:hint="default"/>
                <w:i/>
                <w:sz w:val="24"/>
                <w:lang w:val="ru-RU"/>
              </w:rPr>
              <w:t xml:space="preserve">СРО 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>La France et le monde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>La France et le monde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Le</w:t>
            </w:r>
            <w:r>
              <w:rPr>
                <w:rFonts w:hint="default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 xml:space="preserve"> Kazakhstan: sa situation geographique,son economie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>Le Kazakhstan: sa situation geographique,son economie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Le travail de controle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РК 2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ind w:firstLine="4062" w:firstLineChars="145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                       </w:t>
      </w:r>
    </w:p>
    <w:p>
      <w:pPr>
        <w:ind w:firstLine="4062" w:firstLineChars="145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</w:t>
      </w:r>
    </w:p>
    <w:p>
      <w:pPr>
        <w:ind w:left="7238" w:leftChars="3016" w:firstLine="11065" w:firstLineChars="3950"/>
        <w:rPr>
          <w:rFonts w:hint="default"/>
          <w:b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Д</w:t>
      </w:r>
      <w:r>
        <w:rPr>
          <w:b/>
          <w:lang w:val="ru-RU"/>
        </w:rPr>
        <w:t>екан</w:t>
      </w:r>
      <w:r>
        <w:rPr>
          <w:rFonts w:hint="default"/>
          <w:b/>
          <w:lang w:val="ru-RU"/>
        </w:rPr>
        <w:t xml:space="preserve">______  Б.У.Джолдасбекова  </w:t>
      </w:r>
    </w:p>
    <w:p>
      <w:pPr>
        <w:ind w:firstLine="7324" w:firstLine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Заведующая кафедрой______  М.М.Аймагамбетова                       </w:t>
      </w:r>
    </w:p>
    <w:p>
      <w:pPr>
        <w:ind w:firstLine="7324" w:firstLine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Лектор_____ Ш.М.Макатаева</w:t>
      </w:r>
    </w:p>
    <w:p>
      <w:pPr>
        <w:ind w:firstLine="7324" w:firstLineChars="3050"/>
        <w:rPr>
          <w:rFonts w:hint="default"/>
          <w:b/>
          <w:bCs/>
          <w:lang w:val="ru-RU"/>
        </w:rPr>
      </w:pPr>
    </w:p>
    <w:p>
      <w:pPr>
        <w:ind w:left="22204" w:leftChars="6200" w:hanging="7324" w:hanging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                ЛЛЛектор_________  Ш.М.Макатаева</w:t>
      </w:r>
    </w:p>
    <w:p>
      <w:pPr>
        <w:ind w:firstLine="6243" w:firstLineChars="260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lang w:val="ru-RU"/>
        </w:rPr>
        <w:t xml:space="preserve">                                                                                                                         </w:t>
      </w:r>
    </w:p>
    <w:tbl>
      <w:tblPr>
        <w:tblStyle w:val="19"/>
        <w:tblpPr w:leftFromText="180" w:rightFromText="180" w:vertAnchor="text" w:tblpX="13037" w:tblpY="6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2" w:type="dxa"/>
            <w:tcBorders>
              <w:top w:val="nil"/>
              <w:left w:val="nil"/>
            </w:tcBorders>
          </w:tcPr>
          <w:p>
            <w:pPr>
              <w:rPr>
                <w:sz w:val="20"/>
                <w:szCs w:val="20"/>
                <w:vertAlign w:val="baseline"/>
                <w:lang w:val="kk-KZ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>
      <w:pPr>
        <w:rPr>
          <w:sz w:val="20"/>
          <w:szCs w:val="20"/>
          <w:lang w:val="kk-KZ"/>
        </w:rPr>
      </w:pPr>
    </w:p>
    <w:p>
      <w:pPr>
        <w:contextualSpacing/>
        <w:jc w:val="both"/>
        <w:rPr>
          <w:b/>
          <w:i/>
          <w:vertAlign w:val="baseline"/>
          <w:lang w:val="kk-KZ"/>
        </w:rPr>
      </w:pPr>
      <w:r>
        <w:rPr>
          <w:b/>
        </w:rPr>
        <w:t xml:space="preserve">    </w:t>
      </w:r>
    </w:p>
    <w:p>
      <w:pPr>
        <w:contextualSpacing/>
        <w:jc w:val="both"/>
        <w:rPr>
          <w:b/>
          <w:i/>
          <w:lang w:val="kk-KZ"/>
        </w:rPr>
      </w:pPr>
    </w:p>
    <w:p>
      <w:pPr>
        <w:contextualSpacing/>
        <w:jc w:val="both"/>
        <w:rPr>
          <w:b/>
        </w:rPr>
      </w:pPr>
    </w:p>
    <w:p>
      <w:pPr>
        <w:ind w:firstLine="6243" w:firstLineChars="2600"/>
        <w:rPr>
          <w:rFonts w:hint="default"/>
          <w:b/>
          <w:bCs/>
          <w:lang w:val="ru-RU"/>
        </w:rPr>
      </w:pPr>
      <w:r>
        <w:rPr>
          <w:b/>
          <w:lang w:val="ru-RU"/>
        </w:rPr>
        <w:t>Декан</w:t>
      </w:r>
      <w:r>
        <w:rPr>
          <w:rFonts w:hint="default"/>
          <w:b/>
          <w:lang w:val="ru-RU"/>
        </w:rPr>
        <w:t>______Б.У.Джолдасбекова</w:t>
      </w:r>
      <w:r>
        <w:rPr>
          <w:b/>
        </w:rPr>
        <w:tab/>
      </w:r>
      <w:r>
        <w:rPr>
          <w:rFonts w:hint="default"/>
          <w:b/>
          <w:lang w:val="ru-RU"/>
        </w:rPr>
        <w:t xml:space="preserve">     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7886" w:leftChars="2600" w:hanging="11646" w:hangingChars="48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Заведующая кафедрой______М.М.Аймагамбетова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firstLine="6243" w:firstLineChars="260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Лектор_____Ш.М.Макатаева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en-US"/>
        </w:rPr>
      </w:pPr>
    </w:p>
    <w:sectPr>
      <w:footerReference r:id="rId3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FB8E2E28-4375-412A-B1C4-C8C1EF9D2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8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2023-08-23T11:10:49Z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